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F47BE" w14:textId="16C93E57" w:rsidR="00B514C3" w:rsidRDefault="000D11C9" w:rsidP="00C6524C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I</w:t>
      </w:r>
      <w:r w:rsidR="00E06924">
        <w:rPr>
          <w:lang w:val="en-CA"/>
        </w:rPr>
        <w:t xml:space="preserve">ssues it </w:t>
      </w:r>
      <w:r>
        <w:rPr>
          <w:lang w:val="en-CA"/>
        </w:rPr>
        <w:t>has been</w:t>
      </w:r>
      <w:r w:rsidR="00E06924">
        <w:rPr>
          <w:lang w:val="en-CA"/>
        </w:rPr>
        <w:t xml:space="preserve"> </w:t>
      </w:r>
      <w:r w:rsidR="00A266E5">
        <w:rPr>
          <w:lang w:val="en-CA"/>
        </w:rPr>
        <w:t xml:space="preserve">be used to </w:t>
      </w:r>
      <w:r w:rsidR="007B7B2D">
        <w:rPr>
          <w:lang w:val="en-CA"/>
        </w:rPr>
        <w:t>treat</w:t>
      </w:r>
    </w:p>
    <w:p w14:paraId="24803477" w14:textId="77777777" w:rsidR="007E1160" w:rsidRDefault="007E1160" w:rsidP="00BB1F06">
      <w:pPr>
        <w:spacing w:after="240"/>
        <w:jc w:val="left"/>
      </w:pPr>
    </w:p>
    <w:p w14:paraId="469E5A74" w14:textId="6467292A" w:rsidR="007E1160" w:rsidRPr="007E1160" w:rsidRDefault="007E1160" w:rsidP="00BB1F06">
      <w:pPr>
        <w:spacing w:after="240"/>
        <w:jc w:val="left"/>
        <w:rPr>
          <w:u w:val="single"/>
        </w:rPr>
      </w:pPr>
      <w:r w:rsidRPr="007E1160">
        <w:t xml:space="preserve">From </w:t>
      </w:r>
      <w:r w:rsidRPr="007E1160">
        <w:rPr>
          <w:i/>
          <w:iCs/>
          <w:u w:val="single"/>
        </w:rPr>
        <w:t xml:space="preserve">“Eye Movement Desensitization and Reprocessing” </w:t>
      </w:r>
      <w:r w:rsidRPr="007E1160">
        <w:t>- Shapiro</w:t>
      </w:r>
    </w:p>
    <w:p w14:paraId="0F7066C0" w14:textId="77777777" w:rsidR="007E1160" w:rsidRDefault="007E1160" w:rsidP="00BB1F06">
      <w:pPr>
        <w:spacing w:after="240"/>
        <w:jc w:val="left"/>
      </w:pPr>
      <w:r w:rsidRPr="007E1160">
        <w:t>"Since the initial efficacy study (Shapiro, 1989a), positive therapeutic results with EMDR have been reported with a wide range of populations, as documented in numerous case reports and studies</w:t>
      </w:r>
      <w:r>
        <w:t xml:space="preserve">. </w:t>
      </w:r>
      <w:r w:rsidRPr="007E1160">
        <w:t xml:space="preserve">These include the following: </w:t>
      </w:r>
    </w:p>
    <w:p w14:paraId="58A16B99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Diverse PTSD populations suffering from war trauma, such as combat veterans from Desert Storm, the Vietnam War, the Korean War, and World War II, and terrorist victims and refugees. </w:t>
      </w:r>
    </w:p>
    <w:p w14:paraId="61FFE543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Persons with phobias, panic disorder, and other anxiety disorders, who revealed a rapid reduction of fear and symptomatology. </w:t>
      </w:r>
    </w:p>
    <w:p w14:paraId="1382BD01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Crime victims, police officers, and first responders who are no longer disturbed by the aftereffects of violent assaults. </w:t>
      </w:r>
    </w:p>
    <w:p w14:paraId="31AA7EDD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People relieved of excessive grief due to the loss of a loved one or </w:t>
      </w:r>
      <w:proofErr w:type="spellStart"/>
      <w:r w:rsidRPr="007E1160">
        <w:t>to</w:t>
      </w:r>
      <w:proofErr w:type="spellEnd"/>
      <w:r w:rsidRPr="007E1160">
        <w:t xml:space="preserve"> line-of-duty deaths, such as engineers no longer devastated with guilt because their trains unavoidably killed pedestrians. </w:t>
      </w:r>
    </w:p>
    <w:p w14:paraId="2CEDA982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Children healed of the symptoms caused by the trauma of assault or natural disaster. </w:t>
      </w:r>
    </w:p>
    <w:p w14:paraId="10E5A83D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Sexual assault victims who are free of debilitating symptoms, enabling them to lead normal lives and have intimate relationships. </w:t>
      </w:r>
    </w:p>
    <w:p w14:paraId="58548D86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Accident, surgery, and burn victims who were once emotionally or physically debilitated and are now able to resume productive lives. </w:t>
      </w:r>
    </w:p>
    <w:p w14:paraId="56ACBF89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Victims of sexual dysfunction, who are now able to maintain healthy sexual relationships. </w:t>
      </w:r>
    </w:p>
    <w:p w14:paraId="01B42D55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Clients at all stages of chemical dependency and other addictions, who now show stable recovery and a decreased tendency to relapse. </w:t>
      </w:r>
    </w:p>
    <w:p w14:paraId="277207B4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Clients with acute trauma and a wide variety of PTSD and trauma-based personality issues who experience substantial benefits. </w:t>
      </w:r>
    </w:p>
    <w:p w14:paraId="3DEBC4A6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People with performance anxiety and those seeking performance enhancement in business, performing arts, school, and sports activities who have benefited. </w:t>
      </w:r>
    </w:p>
    <w:p w14:paraId="5AE6526F" w14:textId="77777777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People suffering from somatic disorders or chronic pain, who have rapidly recovered. </w:t>
      </w:r>
    </w:p>
    <w:p w14:paraId="781A76CE" w14:textId="2A4CAF1A" w:rsidR="007E1160" w:rsidRDefault="007E1160" w:rsidP="007E1160">
      <w:pPr>
        <w:pStyle w:val="ListParagraph"/>
        <w:numPr>
          <w:ilvl w:val="0"/>
          <w:numId w:val="1"/>
        </w:numPr>
        <w:spacing w:after="240"/>
        <w:jc w:val="left"/>
      </w:pPr>
      <w:r w:rsidRPr="007E1160">
        <w:t xml:space="preserve">Clients with diagnosed personality disorders or complex PTSD, who show increased stabilization and functioning. </w:t>
      </w:r>
    </w:p>
    <w:p w14:paraId="2256DB97" w14:textId="795CFC32" w:rsidR="00BB1F06" w:rsidRPr="007E1160" w:rsidRDefault="007E1160" w:rsidP="00BB1F06">
      <w:pPr>
        <w:pStyle w:val="ListParagraph"/>
        <w:numPr>
          <w:ilvl w:val="0"/>
          <w:numId w:val="1"/>
        </w:numPr>
        <w:spacing w:after="240"/>
        <w:jc w:val="left"/>
        <w:rPr>
          <w:lang w:val="en-CA"/>
        </w:rPr>
      </w:pPr>
      <w:r w:rsidRPr="007E1160">
        <w:t>Clients with depression and a wide variety of other diagnoses, who have experienced substantial benefit from EMDR.</w:t>
      </w:r>
    </w:p>
    <w:sectPr w:rsidR="00BB1F06" w:rsidRPr="007E1160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E5470"/>
    <w:multiLevelType w:val="hybridMultilevel"/>
    <w:tmpl w:val="3D5C5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3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4"/>
    <w:rsid w:val="000A47C0"/>
    <w:rsid w:val="000D11C9"/>
    <w:rsid w:val="00330684"/>
    <w:rsid w:val="00352489"/>
    <w:rsid w:val="004C46DD"/>
    <w:rsid w:val="007B7B2D"/>
    <w:rsid w:val="007E1160"/>
    <w:rsid w:val="00860BAE"/>
    <w:rsid w:val="00875166"/>
    <w:rsid w:val="00A266E5"/>
    <w:rsid w:val="00A4074E"/>
    <w:rsid w:val="00B514C3"/>
    <w:rsid w:val="00BB1F06"/>
    <w:rsid w:val="00BC104D"/>
    <w:rsid w:val="00C6524C"/>
    <w:rsid w:val="00C81D81"/>
    <w:rsid w:val="00D92682"/>
    <w:rsid w:val="00E06924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64FEE"/>
  <w15:chartTrackingRefBased/>
  <w15:docId w15:val="{0020A085-FB67-C745-A561-BCDF540C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9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9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9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9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9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9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069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9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924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24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924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924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924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924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924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E0692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24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9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924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E06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924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E0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924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E069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7</cp:revision>
  <dcterms:created xsi:type="dcterms:W3CDTF">2024-12-03T14:03:00Z</dcterms:created>
  <dcterms:modified xsi:type="dcterms:W3CDTF">2024-12-03T22:44:00Z</dcterms:modified>
</cp:coreProperties>
</file>