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5C86" w14:textId="7E1D54C1" w:rsidR="00B514C3" w:rsidRDefault="00C32747" w:rsidP="003A69FB">
      <w:pPr>
        <w:pStyle w:val="Heading1"/>
        <w:spacing w:after="240"/>
        <w:jc w:val="center"/>
        <w:rPr>
          <w:lang w:val="en-CA"/>
        </w:rPr>
      </w:pPr>
      <w:r>
        <w:rPr>
          <w:lang w:val="en-CA"/>
        </w:rPr>
        <w:t xml:space="preserve">The </w:t>
      </w:r>
      <w:r w:rsidR="007B6E9D">
        <w:rPr>
          <w:lang w:val="en-CA"/>
        </w:rPr>
        <w:t>Steps</w:t>
      </w:r>
      <w:r>
        <w:rPr>
          <w:lang w:val="en-CA"/>
        </w:rPr>
        <w:t xml:space="preserve"> of </w:t>
      </w:r>
      <w:r w:rsidR="003A69FB" w:rsidRPr="003A69FB">
        <w:rPr>
          <w:lang w:val="en-CA"/>
        </w:rPr>
        <w:t>IFS Therapy</w:t>
      </w:r>
      <w:r w:rsidR="007B6E9D">
        <w:rPr>
          <w:lang w:val="en-CA"/>
        </w:rPr>
        <w:t>– The 6 F’s</w:t>
      </w:r>
    </w:p>
    <w:p w14:paraId="1540C7E7" w14:textId="77777777" w:rsidR="003A69FB" w:rsidRPr="003A69FB" w:rsidRDefault="003A69FB" w:rsidP="003A69FB">
      <w:pPr>
        <w:spacing w:afterLines="0" w:line="240" w:lineRule="auto"/>
        <w:jc w:val="left"/>
        <w:rPr>
          <w:rFonts w:cs="Arial"/>
          <w:lang w:val="en-CA"/>
        </w:rPr>
      </w:pPr>
    </w:p>
    <w:tbl>
      <w:tblPr>
        <w:tblStyle w:val="TableGrid"/>
        <w:tblW w:w="0" w:type="auto"/>
        <w:tblLook w:val="04A0" w:firstRow="1" w:lastRow="0" w:firstColumn="1" w:lastColumn="0" w:noHBand="0" w:noVBand="1"/>
      </w:tblPr>
      <w:tblGrid>
        <w:gridCol w:w="1118"/>
        <w:gridCol w:w="1591"/>
        <w:gridCol w:w="6641"/>
      </w:tblGrid>
      <w:tr w:rsidR="003A69FB" w:rsidRPr="003A69FB" w14:paraId="4B8504DD" w14:textId="77777777" w:rsidTr="00FC7F18">
        <w:tc>
          <w:tcPr>
            <w:tcW w:w="1129" w:type="dxa"/>
          </w:tcPr>
          <w:p w14:paraId="394C694C" w14:textId="6B64B4B9"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1</w:t>
            </w:r>
          </w:p>
        </w:tc>
        <w:tc>
          <w:tcPr>
            <w:tcW w:w="1418" w:type="dxa"/>
          </w:tcPr>
          <w:p w14:paraId="1F3942E5" w14:textId="77FDACD6" w:rsidR="003A69FB" w:rsidRPr="003A69FB" w:rsidRDefault="003A69FB" w:rsidP="003A69FB">
            <w:pPr>
              <w:autoSpaceDE w:val="0"/>
              <w:autoSpaceDN w:val="0"/>
              <w:adjustRightInd w:val="0"/>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ind</w:t>
            </w:r>
          </w:p>
          <w:p w14:paraId="437055A3" w14:textId="03D366FE" w:rsidR="003A69FB" w:rsidRPr="003A69FB" w:rsidRDefault="003A69FB" w:rsidP="003A69FB">
            <w:pPr>
              <w:spacing w:afterLines="0" w:line="240" w:lineRule="auto"/>
              <w:jc w:val="left"/>
              <w:rPr>
                <w:rFonts w:cs="Arial"/>
                <w:lang w:val="en-CA"/>
              </w:rPr>
            </w:pPr>
          </w:p>
        </w:tc>
        <w:tc>
          <w:tcPr>
            <w:tcW w:w="6803" w:type="dxa"/>
          </w:tcPr>
          <w:p w14:paraId="21781147" w14:textId="77777777"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The first step is to find a part. This could be a part that is causing trouble in the present moment, such as a part that causes anxiety or a part that drives impulsive behavior. To identify a part, the individual can focus on a symptom or behavior and sense the part behind it.</w:t>
            </w:r>
          </w:p>
          <w:p w14:paraId="47921D90" w14:textId="44B8BCC0"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r w:rsidR="003A69FB" w:rsidRPr="003A69FB" w14:paraId="24ACBB11" w14:textId="77777777" w:rsidTr="00FC7F18">
        <w:tc>
          <w:tcPr>
            <w:tcW w:w="1129" w:type="dxa"/>
          </w:tcPr>
          <w:p w14:paraId="49186D2C" w14:textId="0BF251DD"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2</w:t>
            </w:r>
          </w:p>
        </w:tc>
        <w:tc>
          <w:tcPr>
            <w:tcW w:w="1418" w:type="dxa"/>
          </w:tcPr>
          <w:p w14:paraId="4921177C" w14:textId="3D99A52F" w:rsidR="003A69FB" w:rsidRPr="003A69FB" w:rsidRDefault="003A69FB" w:rsidP="003A69FB">
            <w:pPr>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ocus</w:t>
            </w:r>
          </w:p>
        </w:tc>
        <w:tc>
          <w:tcPr>
            <w:tcW w:w="6803" w:type="dxa"/>
          </w:tcPr>
          <w:p w14:paraId="7C20122A" w14:textId="77777777" w:rsid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Once a part is identified, the individual is asked to focus on it. This involves paying attention to the sensations, emotions, and thoughts related to the part. This step allows the individual to get a clearer sense of the part and its concerns.</w:t>
            </w:r>
          </w:p>
          <w:p w14:paraId="158EDC79" w14:textId="5BD382B6"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r w:rsidR="003A69FB" w:rsidRPr="003A69FB" w14:paraId="2D2A60F5" w14:textId="77777777" w:rsidTr="00FC7F18">
        <w:tc>
          <w:tcPr>
            <w:tcW w:w="1129" w:type="dxa"/>
          </w:tcPr>
          <w:p w14:paraId="11913BFE" w14:textId="1700212A"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3</w:t>
            </w:r>
          </w:p>
        </w:tc>
        <w:tc>
          <w:tcPr>
            <w:tcW w:w="1418" w:type="dxa"/>
          </w:tcPr>
          <w:p w14:paraId="0BB73753" w14:textId="4068D726" w:rsidR="003A69FB" w:rsidRPr="003A69FB" w:rsidRDefault="003A69FB" w:rsidP="003A69FB">
            <w:pPr>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lesh Out</w:t>
            </w:r>
          </w:p>
        </w:tc>
        <w:tc>
          <w:tcPr>
            <w:tcW w:w="6803" w:type="dxa"/>
          </w:tcPr>
          <w:p w14:paraId="5BB2C488" w14:textId="77777777" w:rsid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This step involves exploring the part in more detail. The individual is encouraged to ask the part questions to understand its purpose, concerns, beliefs, and desires better. This could involve understanding when the part first formed, what its role has been, and what it fears would happen if it didn't perform its role.</w:t>
            </w:r>
          </w:p>
          <w:p w14:paraId="0ED21989" w14:textId="5DAC91F9"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r w:rsidR="003A69FB" w:rsidRPr="003A69FB" w14:paraId="5BA4C66B" w14:textId="77777777" w:rsidTr="00FC7F18">
        <w:tc>
          <w:tcPr>
            <w:tcW w:w="1129" w:type="dxa"/>
          </w:tcPr>
          <w:p w14:paraId="4DD655B8" w14:textId="2CDE0238"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4</w:t>
            </w:r>
          </w:p>
        </w:tc>
        <w:tc>
          <w:tcPr>
            <w:tcW w:w="1418" w:type="dxa"/>
          </w:tcPr>
          <w:p w14:paraId="32A34EF5" w14:textId="1F549CE2" w:rsidR="003A69FB" w:rsidRPr="003A69FB" w:rsidRDefault="003A69FB" w:rsidP="003A69FB">
            <w:pPr>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riend</w:t>
            </w:r>
          </w:p>
        </w:tc>
        <w:tc>
          <w:tcPr>
            <w:tcW w:w="6803" w:type="dxa"/>
          </w:tcPr>
          <w:p w14:paraId="1BFD49EC" w14:textId="77777777" w:rsid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After getting to know the part, the next step is to develop a friendly relationship with it. This involves showing the part kindness, curiosity, and compassion, showing it that it is seen, heard, and valued. This can help the part feel safer and more willing to trust the Self.</w:t>
            </w:r>
          </w:p>
          <w:p w14:paraId="3E18E20C" w14:textId="176B4EC0"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r w:rsidR="003A69FB" w:rsidRPr="003A69FB" w14:paraId="492F90F6" w14:textId="77777777" w:rsidTr="00FC7F18">
        <w:tc>
          <w:tcPr>
            <w:tcW w:w="1129" w:type="dxa"/>
          </w:tcPr>
          <w:p w14:paraId="5B5CCB77" w14:textId="4F1BBDE3"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5</w:t>
            </w:r>
          </w:p>
        </w:tc>
        <w:tc>
          <w:tcPr>
            <w:tcW w:w="1418" w:type="dxa"/>
          </w:tcPr>
          <w:p w14:paraId="11F670D8" w14:textId="154BC07B" w:rsidR="003A69FB" w:rsidRPr="003A69FB" w:rsidRDefault="003A69FB" w:rsidP="003A69FB">
            <w:pPr>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acilitate</w:t>
            </w:r>
            <w:r w:rsidR="00FC7F18">
              <w:rPr>
                <w:rFonts w:cs="Arial"/>
                <w:color w:val="auto"/>
                <w:kern w:val="0"/>
                <w:lang w:val="en-US" w:eastAsia="en-US"/>
              </w:rPr>
              <w:br/>
            </w:r>
            <w:r w:rsidRPr="003A69FB">
              <w:rPr>
                <w:rFonts w:cs="Arial"/>
                <w:color w:val="auto"/>
                <w:kern w:val="0"/>
                <w:lang w:val="en-US" w:eastAsia="en-US"/>
              </w:rPr>
              <w:t>Unburdening</w:t>
            </w:r>
          </w:p>
        </w:tc>
        <w:tc>
          <w:tcPr>
            <w:tcW w:w="6803" w:type="dxa"/>
          </w:tcPr>
          <w:p w14:paraId="0FABD215" w14:textId="77777777" w:rsid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Once a relationship is established with the part, the process of unburdening can begin. Unburdening is about helping the part release the burdens it has been carrying—painful emotions, beliefs, or memories. This involves the part showing the Self the memory or experience related to the burden and the Self providing the healing that wasn't available at that time, like reassurance, comfort, or protection.</w:t>
            </w:r>
          </w:p>
          <w:p w14:paraId="3653D56D" w14:textId="4D8B748D"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r w:rsidR="003A69FB" w:rsidRPr="003A69FB" w14:paraId="27215AB0" w14:textId="77777777" w:rsidTr="00FC7F18">
        <w:tc>
          <w:tcPr>
            <w:tcW w:w="1129" w:type="dxa"/>
          </w:tcPr>
          <w:p w14:paraId="06C9F903" w14:textId="426D2805" w:rsidR="003A69FB" w:rsidRPr="00FC7F18" w:rsidRDefault="00FC7F18" w:rsidP="003A69FB">
            <w:pPr>
              <w:spacing w:afterLines="0" w:line="240" w:lineRule="auto"/>
              <w:jc w:val="center"/>
              <w:rPr>
                <w:rFonts w:cs="Arial"/>
                <w:i/>
                <w:iCs/>
                <w:sz w:val="28"/>
                <w:szCs w:val="28"/>
                <w:u w:val="single"/>
                <w:lang w:val="en-CA"/>
              </w:rPr>
            </w:pPr>
            <w:r w:rsidRPr="00FC7F18">
              <w:rPr>
                <w:rFonts w:cs="Arial"/>
                <w:i/>
                <w:iCs/>
                <w:sz w:val="28"/>
                <w:szCs w:val="28"/>
                <w:u w:val="single"/>
                <w:lang w:val="en-CA"/>
              </w:rPr>
              <w:t xml:space="preserve">Step </w:t>
            </w:r>
            <w:r w:rsidR="003A69FB" w:rsidRPr="00FC7F18">
              <w:rPr>
                <w:rFonts w:cs="Arial"/>
                <w:i/>
                <w:iCs/>
                <w:sz w:val="28"/>
                <w:szCs w:val="28"/>
                <w:u w:val="single"/>
                <w:lang w:val="en-CA"/>
              </w:rPr>
              <w:t>6</w:t>
            </w:r>
          </w:p>
        </w:tc>
        <w:tc>
          <w:tcPr>
            <w:tcW w:w="1418" w:type="dxa"/>
          </w:tcPr>
          <w:p w14:paraId="0D6290A1" w14:textId="148DB380" w:rsidR="003A69FB" w:rsidRPr="003A69FB" w:rsidRDefault="003A69FB" w:rsidP="003A69FB">
            <w:pPr>
              <w:spacing w:afterLines="0" w:line="240" w:lineRule="auto"/>
              <w:jc w:val="left"/>
              <w:rPr>
                <w:rFonts w:cs="Arial"/>
                <w:lang w:val="en-CA"/>
              </w:rPr>
            </w:pPr>
            <w:r w:rsidRPr="003A69FB">
              <w:rPr>
                <w:rFonts w:cs="Arial"/>
                <w:b/>
                <w:bCs/>
                <w:color w:val="auto"/>
                <w:kern w:val="0"/>
                <w:u w:val="single"/>
                <w:lang w:val="en-US" w:eastAsia="en-US"/>
              </w:rPr>
              <w:t>F</w:t>
            </w:r>
            <w:r w:rsidRPr="003A69FB">
              <w:rPr>
                <w:rFonts w:cs="Arial"/>
                <w:color w:val="auto"/>
                <w:kern w:val="0"/>
                <w:lang w:val="en-US" w:eastAsia="en-US"/>
              </w:rPr>
              <w:t>ollow Up</w:t>
            </w:r>
          </w:p>
        </w:tc>
        <w:tc>
          <w:tcPr>
            <w:tcW w:w="6803" w:type="dxa"/>
          </w:tcPr>
          <w:p w14:paraId="6F7A0090" w14:textId="77777777" w:rsidR="003A69FB" w:rsidRDefault="003A69FB" w:rsidP="003A69FB">
            <w:pPr>
              <w:autoSpaceDE w:val="0"/>
              <w:autoSpaceDN w:val="0"/>
              <w:adjustRightInd w:val="0"/>
              <w:spacing w:afterLines="0" w:line="240" w:lineRule="auto"/>
              <w:jc w:val="left"/>
              <w:rPr>
                <w:rFonts w:cs="Arial"/>
                <w:color w:val="auto"/>
                <w:kern w:val="0"/>
                <w:lang w:val="en-US" w:eastAsia="en-US"/>
              </w:rPr>
            </w:pPr>
            <w:r w:rsidRPr="003A69FB">
              <w:rPr>
                <w:rFonts w:cs="Arial"/>
                <w:color w:val="auto"/>
                <w:kern w:val="0"/>
                <w:lang w:val="en-US" w:eastAsia="en-US"/>
              </w:rPr>
              <w:t>The final step is to follow up with the part, ensuring that it has what it needs and feels safe and comfortable with the changes. This could involve making agreements with the part about how the individual will behave or respond in the future, and checking in with the part regularly to see how it's doing.</w:t>
            </w:r>
          </w:p>
          <w:p w14:paraId="19532E3B" w14:textId="5C5345E4" w:rsidR="003A69FB" w:rsidRPr="003A69FB" w:rsidRDefault="003A69FB" w:rsidP="003A69FB">
            <w:pPr>
              <w:autoSpaceDE w:val="0"/>
              <w:autoSpaceDN w:val="0"/>
              <w:adjustRightInd w:val="0"/>
              <w:spacing w:afterLines="0" w:line="240" w:lineRule="auto"/>
              <w:jc w:val="left"/>
              <w:rPr>
                <w:rFonts w:cs="Arial"/>
                <w:color w:val="auto"/>
                <w:kern w:val="0"/>
                <w:lang w:val="en-US" w:eastAsia="en-US"/>
              </w:rPr>
            </w:pPr>
          </w:p>
        </w:tc>
      </w:tr>
    </w:tbl>
    <w:p w14:paraId="7C8FA691" w14:textId="77777777" w:rsidR="003A69FB" w:rsidRPr="003A69FB" w:rsidRDefault="003A69FB" w:rsidP="003A69FB">
      <w:pPr>
        <w:spacing w:afterLines="0" w:line="240" w:lineRule="auto"/>
        <w:jc w:val="left"/>
        <w:rPr>
          <w:rFonts w:cs="Arial"/>
          <w:lang w:val="en-CA"/>
        </w:rPr>
      </w:pPr>
    </w:p>
    <w:sectPr w:rsidR="003A69FB" w:rsidRPr="003A69FB"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FB"/>
    <w:rsid w:val="000A47C0"/>
    <w:rsid w:val="00330684"/>
    <w:rsid w:val="00352489"/>
    <w:rsid w:val="003A69FB"/>
    <w:rsid w:val="005333CB"/>
    <w:rsid w:val="007B6E9D"/>
    <w:rsid w:val="00860BAE"/>
    <w:rsid w:val="00875166"/>
    <w:rsid w:val="00A4074E"/>
    <w:rsid w:val="00B514C3"/>
    <w:rsid w:val="00C32747"/>
    <w:rsid w:val="00C81D81"/>
    <w:rsid w:val="00D92682"/>
    <w:rsid w:val="00F82EFB"/>
    <w:rsid w:val="00FC7F18"/>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82C131"/>
  <w15:chartTrackingRefBased/>
  <w15:docId w15:val="{3072FE70-D7CE-B94B-AB34-224F73FE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3A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9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9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69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69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69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69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69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3A69FB"/>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3A69FB"/>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3A69FB"/>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3A69FB"/>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3A69FB"/>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3A69FB"/>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3A69FB"/>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3A69FB"/>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3A69FB"/>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3A69F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69FB"/>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3A69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9FB"/>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3A6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9FB"/>
    <w:rPr>
      <w:rFonts w:ascii="Arial" w:hAnsi="Arial" w:cs="Times New Roman"/>
      <w:i/>
      <w:iCs/>
      <w:color w:val="404040" w:themeColor="text1" w:themeTint="BF"/>
      <w:lang w:val="en" w:eastAsia="en"/>
    </w:rPr>
  </w:style>
  <w:style w:type="paragraph" w:styleId="ListParagraph">
    <w:name w:val="List Paragraph"/>
    <w:basedOn w:val="Normal"/>
    <w:uiPriority w:val="34"/>
    <w:qFormat/>
    <w:rsid w:val="003A69FB"/>
    <w:pPr>
      <w:ind w:left="720"/>
      <w:contextualSpacing/>
    </w:pPr>
  </w:style>
  <w:style w:type="character" w:styleId="IntenseEmphasis">
    <w:name w:val="Intense Emphasis"/>
    <w:basedOn w:val="DefaultParagraphFont"/>
    <w:uiPriority w:val="21"/>
    <w:qFormat/>
    <w:rsid w:val="003A69FB"/>
    <w:rPr>
      <w:i/>
      <w:iCs/>
      <w:color w:val="0F4761" w:themeColor="accent1" w:themeShade="BF"/>
    </w:rPr>
  </w:style>
  <w:style w:type="paragraph" w:styleId="IntenseQuote">
    <w:name w:val="Intense Quote"/>
    <w:basedOn w:val="Normal"/>
    <w:next w:val="Normal"/>
    <w:link w:val="IntenseQuoteChar"/>
    <w:uiPriority w:val="30"/>
    <w:qFormat/>
    <w:rsid w:val="003A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9FB"/>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3A69FB"/>
    <w:rPr>
      <w:b/>
      <w:bCs/>
      <w:smallCaps/>
      <w:color w:val="0F4761" w:themeColor="accent1" w:themeShade="BF"/>
      <w:spacing w:val="5"/>
    </w:rPr>
  </w:style>
  <w:style w:type="table" w:styleId="TableGrid">
    <w:name w:val="Table Grid"/>
    <w:basedOn w:val="TableNormal"/>
    <w:uiPriority w:val="39"/>
    <w:rsid w:val="003A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4</cp:revision>
  <dcterms:created xsi:type="dcterms:W3CDTF">2024-12-14T03:22:00Z</dcterms:created>
  <dcterms:modified xsi:type="dcterms:W3CDTF">2024-12-15T00:39:00Z</dcterms:modified>
</cp:coreProperties>
</file>